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Allison Carlos</w:t>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ENG 101</w:t>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September 26, 2016</w:t>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Plan of Action Draft #1</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order for readers to understand the impact that preconceived notions about the African American community had on relationships, this exhibit will explore a play, book, and journalism from the 1950</w:t>
      </w:r>
      <w:r>
        <w:rPr>
          <w:rFonts w:ascii="Times New Roman" w:hAnsi="Times New Roman" w:hint="default"/>
          <w:sz w:val="24"/>
          <w:szCs w:val="24"/>
          <w:rtl w:val="0"/>
          <w:lang w:val="en-US"/>
        </w:rPr>
        <w:t>’</w:t>
      </w:r>
      <w:r>
        <w:rPr>
          <w:rFonts w:ascii="Times New Roman" w:hAnsi="Times New Roman"/>
          <w:sz w:val="24"/>
          <w:szCs w:val="24"/>
          <w:rtl w:val="0"/>
          <w:lang w:val="en-US"/>
        </w:rPr>
        <w:t>s. Each of these sources give details about the type of personal and community relationships that occurred in the 1950</w:t>
      </w:r>
      <w:r>
        <w:rPr>
          <w:rFonts w:ascii="Times New Roman" w:hAnsi="Times New Roman" w:hint="default"/>
          <w:sz w:val="24"/>
          <w:szCs w:val="24"/>
          <w:rtl w:val="0"/>
          <w:lang w:val="en-US"/>
        </w:rPr>
        <w:t>’</w:t>
      </w:r>
      <w:r>
        <w:rPr>
          <w:rFonts w:ascii="Times New Roman" w:hAnsi="Times New Roman"/>
          <w:sz w:val="24"/>
          <w:szCs w:val="24"/>
          <w:rtl w:val="0"/>
          <w:lang w:val="en-US"/>
        </w:rPr>
        <w:t>s. Plays and books from the 1950</w:t>
      </w:r>
      <w:r>
        <w:rPr>
          <w:rFonts w:ascii="Times New Roman" w:hAnsi="Times New Roman" w:hint="default"/>
          <w:sz w:val="24"/>
          <w:szCs w:val="24"/>
          <w:rtl w:val="0"/>
          <w:lang w:val="en-US"/>
        </w:rPr>
        <w:t>’</w:t>
      </w:r>
      <w:r>
        <w:rPr>
          <w:rFonts w:ascii="Times New Roman" w:hAnsi="Times New Roman"/>
          <w:sz w:val="24"/>
          <w:szCs w:val="24"/>
          <w:rtl w:val="0"/>
          <w:lang w:val="en-US"/>
        </w:rPr>
        <w:t>s can provide stories accounts of life in the 1950</w:t>
      </w:r>
      <w:r>
        <w:rPr>
          <w:rFonts w:ascii="Times New Roman" w:hAnsi="Times New Roman" w:hint="default"/>
          <w:sz w:val="24"/>
          <w:szCs w:val="24"/>
          <w:rtl w:val="0"/>
          <w:lang w:val="en-US"/>
        </w:rPr>
        <w:t>’</w:t>
      </w:r>
      <w:r>
        <w:rPr>
          <w:rFonts w:ascii="Times New Roman" w:hAnsi="Times New Roman"/>
          <w:sz w:val="24"/>
          <w:szCs w:val="24"/>
          <w:rtl w:val="0"/>
          <w:lang w:val="en-US"/>
        </w:rPr>
        <w:t>s, and journalism from the 1950</w:t>
      </w:r>
      <w:r>
        <w:rPr>
          <w:rFonts w:ascii="Times New Roman" w:hAnsi="Times New Roman" w:hint="default"/>
          <w:sz w:val="24"/>
          <w:szCs w:val="24"/>
          <w:rtl w:val="0"/>
          <w:lang w:val="en-US"/>
        </w:rPr>
        <w:t>’</w:t>
      </w:r>
      <w:r>
        <w:rPr>
          <w:rFonts w:ascii="Times New Roman" w:hAnsi="Times New Roman"/>
          <w:sz w:val="24"/>
          <w:szCs w:val="24"/>
          <w:rtl w:val="0"/>
          <w:lang w:val="en-US"/>
        </w:rPr>
        <w:t>s can provide real accounts of things that went on, and may even provide criticism of of theses works from that time.</w:t>
      </w:r>
      <w:r>
        <w:rPr>
          <w:rFonts w:ascii="Times New Roman" w:hAnsi="Times New Roman"/>
          <w:sz w:val="24"/>
          <w:szCs w:val="24"/>
          <w:rtl w:val="0"/>
        </w:rPr>
        <w:t xml:space="preserve"> </w:t>
      </w:r>
      <w:r>
        <w:rPr>
          <w:rFonts w:ascii="Times New Roman" w:hAnsi="Times New Roman"/>
          <w:sz w:val="24"/>
          <w:szCs w:val="24"/>
          <w:rtl w:val="0"/>
          <w:lang w:val="en-US"/>
        </w:rPr>
        <w:t xml:space="preserve">I will not use secondary sources, because information could be flawed and primary accounts of events from that time are much more credible. </w:t>
      </w:r>
      <w:r>
        <w:rPr>
          <w:rFonts w:ascii="Times New Roman" w:hAnsi="Times New Roman"/>
          <w:sz w:val="24"/>
          <w:szCs w:val="24"/>
          <w:rtl w:val="0"/>
          <w:lang w:val="de-DE"/>
        </w:rPr>
        <w:t>Lorraine Hansberry</w:t>
      </w:r>
      <w:r>
        <w:rPr>
          <w:rFonts w:ascii="Times New Roman" w:hAnsi="Times New Roman" w:hint="default"/>
          <w:sz w:val="24"/>
          <w:szCs w:val="24"/>
          <w:rtl w:val="0"/>
        </w:rPr>
        <w:t>’</w:t>
      </w:r>
      <w:r>
        <w:rPr>
          <w:rFonts w:ascii="Times New Roman" w:hAnsi="Times New Roman"/>
          <w:sz w:val="24"/>
          <w:szCs w:val="24"/>
          <w:rtl w:val="0"/>
          <w:lang w:val="en-US"/>
        </w:rPr>
        <w:t>s play A Raisin in the Sun</w:t>
      </w:r>
      <w:r>
        <w:rPr>
          <w:rFonts w:ascii="Times New Roman" w:hAnsi="Times New Roman"/>
          <w:sz w:val="24"/>
          <w:szCs w:val="24"/>
          <w:rtl w:val="0"/>
          <w:lang w:val="en-US"/>
        </w:rPr>
        <w:t xml:space="preserve"> provides a story about a family living in Chicago in the 1950</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and is based on events from her life. In the play A Raisin in the Sun, before </w:t>
      </w:r>
      <w:r>
        <w:rPr>
          <w:rFonts w:ascii="Times New Roman" w:hAnsi="Times New Roman"/>
          <w:sz w:val="24"/>
          <w:szCs w:val="24"/>
          <w:rtl w:val="0"/>
          <w:lang w:val="en-US"/>
        </w:rPr>
        <w:t xml:space="preserve">an African American </w:t>
      </w:r>
      <w:r>
        <w:rPr>
          <w:rFonts w:ascii="Times New Roman" w:hAnsi="Times New Roman"/>
          <w:sz w:val="24"/>
          <w:szCs w:val="24"/>
          <w:rtl w:val="0"/>
          <w:lang w:val="en-US"/>
        </w:rPr>
        <w:t xml:space="preserve">family moved into a predominantly white neighborhood, the son states </w:t>
      </w:r>
      <w:r>
        <w:rPr>
          <w:rFonts w:ascii="Times New Roman" w:hAnsi="Times New Roman" w:hint="default"/>
          <w:sz w:val="24"/>
          <w:szCs w:val="24"/>
          <w:rtl w:val="0"/>
          <w:lang w:val="en-US"/>
        </w:rPr>
        <w:t>“</w:t>
      </w:r>
      <w:r>
        <w:rPr>
          <w:rFonts w:ascii="Times New Roman" w:hAnsi="Times New Roman"/>
          <w:sz w:val="24"/>
          <w:szCs w:val="24"/>
          <w:rtl w:val="0"/>
          <w:lang w:val="en-US"/>
        </w:rPr>
        <w:t>We don't want to make no trouble for nobody or fight no causes, and we will try to be good neighbors,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shows that there were concerns over their family moving into the predominantly white neighborhood (Hansberry, 1959). In to Be Young, Gifted, and Black in the  chapel about Chicago Hansberry explains that as a child she was taught never to betray </w:t>
      </w:r>
      <w:r>
        <w:rPr>
          <w:rFonts w:ascii="Times New Roman" w:hAnsi="Times New Roman" w:hint="default"/>
          <w:sz w:val="24"/>
          <w:szCs w:val="24"/>
          <w:rtl w:val="0"/>
          <w:lang w:val="en-US"/>
        </w:rPr>
        <w:t>“</w:t>
      </w:r>
      <w:r>
        <w:rPr>
          <w:rFonts w:ascii="Times New Roman" w:hAnsi="Times New Roman"/>
          <w:sz w:val="24"/>
          <w:szCs w:val="24"/>
          <w:rtl w:val="0"/>
          <w:lang w:val="en-US"/>
        </w:rPr>
        <w:t>the family and the race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(Nemiroff, p.18). This statement shows that relationships between your family were most important at that time, and could have influenced both personal and community relationships.</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9-28-16 : work on Plan of Action Draft 1</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9-30-16 : peer review of Plan of Action Draft 1, complete Plan of Action</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10-3-16 : work on Annotated Bibliography Draft 1, Visit Langmuir African American </w:t>
        <w:tab/>
        <w:tab/>
        <w:tab/>
        <w:t xml:space="preserve">    photography collection and pick resource</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10-5-16 : complete Annotated Bibliography, work on Design Plan</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10-7-16 : complete Design Plan and Proposal Final Draft</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10-12-16 : work on Exhibition Title and Description, Exhibition Introduction, Group Labels, and </w:t>
        <w:tab/>
        <w:t xml:space="preserve">      Object ID and Caption, choose artifact from </w:t>
      </w:r>
      <w:r>
        <w:rPr>
          <w:rFonts w:ascii="Times New Roman" w:hAnsi="Times New Roman"/>
          <w:i w:val="1"/>
          <w:iCs w:val="1"/>
          <w:sz w:val="24"/>
          <w:szCs w:val="24"/>
          <w:rtl w:val="0"/>
          <w:lang w:val="en-US"/>
        </w:rPr>
        <w:t>Still Raising Hell</w:t>
      </w:r>
      <w:r>
        <w:rPr>
          <w:rFonts w:ascii="Times New Roman" w:hAnsi="Times New Roman"/>
          <w:sz w:val="24"/>
          <w:szCs w:val="24"/>
          <w:rtl w:val="0"/>
          <w:lang w:val="en-US"/>
        </w:rPr>
        <w:t xml:space="preserve"> library exhibit</w:t>
      </w:r>
    </w:p>
    <w:p>
      <w:pPr>
        <w:pStyle w:val="Body"/>
        <w:spacing w:line="480" w:lineRule="auto"/>
        <w:jc w:val="left"/>
      </w:pPr>
      <w:r>
        <w:rPr>
          <w:rFonts w:ascii="Times New Roman" w:hAnsi="Times New Roman"/>
          <w:sz w:val="24"/>
          <w:szCs w:val="24"/>
          <w:rtl w:val="0"/>
          <w:lang w:val="en-US"/>
        </w:rPr>
        <w:t>10-14-16 : review and complete Curated Exhibit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